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There exist a lot of different approaches for each of those tasks.</w:t>
        <w:br/>
        <w:t>However, readability is more than just programming style.</w:t>
        <w:br/>
        <w:t>Provided the functions in a library follow the appropriate run-time conventions (e.g., method of passing arguments), then these functions may be written in any other language.</w:t>
        <w:br/>
        <w:t>He gave the first description of cryptanalysis by frequency analysis, the earliest code-breaking algorithm.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Compiling takes the source code from a low-level programming language and converts it into machine code.</w:t>
        <w:br/>
        <w:t>Programming involves tasks such as analysis, generating algorithms, profiling algorithms' accuracy and resource consumption, and the implementation of algorithms (usually in a particular programming language, commonly referred to as coding).</w:t>
        <w:br/>
        <w:t>Use of a static code analysis tool can help detect some possible problems.</w:t>
        <w:br/>
        <w:t>He gave the first description of cryptanalysis by frequency analysis, the earliest code-breaking algorithm.</w:t>
        <w:br/>
        <w:t>However, Charles Babbage had already written his first program for the Analytical Engine in 1837.</w:t>
        <w:br/>
        <w:t>When debugging the problem in a GUI, the programmer can try to skip some user interaction from the original problem description and check if remaining actions are sufficient for bugs to appear.</w:t>
        <w:br/>
        <w:t>Compiling takes the source code from a low-level programming language and converts it into machine code.</w:t>
        <w:br/>
        <w:t>However, Charles Babbage had already written his first program for the Analytical Engine in 1837.</w:t>
        <w:br/>
        <w:t>There are many approaches to the Software development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