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Compilers harnessed the power of computers to make programming easier by allowing programmers to specify calculations by entering a formula using infix notation.</w:t>
        <w:br/>
        <w:t>They are the building blocks for all software, from the simplest applications to the most sophisticated ones.</w:t>
        <w:br/>
        <w:t>There exist a lot of different approaches for each of those tasks.</w:t>
        <w:br/>
        <w:t>There are many approaches to the Software development process.</w:t>
        <w:br/>
        <w:t>This can be a non-trivial task, for example as with parallel processes or some unusual software bugs.</w:t>
        <w:br/>
        <w:t>Also, specific user environment and usage history can make it difficult to reproduce the problem.</w:t>
        <w:br/>
        <w:t>In 1801, the Jacquard loom could produce entirely different weaves by changing the "program" – a series of pasteboard cards with holes punched in them.</w:t>
        <w:br/>
        <w:t>A study found that a few simple readability transformations made code shorter and drastically reduced the time to understand it.</w:t>
        <w:br/>
        <w:t>It affects the aspects of quality above, including portability, usability and most importantly maintainability.</w:t>
        <w:br/>
        <w:t xml:space="preserve"> Different programming languages support different styles of programming (called programming paradigms).</w:t>
        <w:br/>
        <w:t>He gave the first description of cryptanalysis by frequency analysis, the earliest code-breaking algorithm.</w:t>
        <w:br/>
        <w:t>Many applications use a mix of several languages in their construction and use.</w:t>
        <w:br/>
        <w:t>Programming languages are essential for software development.</w:t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