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Many applications use a mix of several languages in their construction and use.</w:t>
        <w:br/>
        <w:t>Ideally, the programming language best suited for the task at hand will be selected.</w:t>
        <w:br/>
        <w:t>The Unified Modeling Language (UML) is a notation used for both the OOAD and MDA.</w:t>
        <w:br/>
        <w:t>For this purpose, algorithms are classified into orders using so-called Big O notation, which expresses resource use, such as execution time or memory consumption, in terms of the size of an input.</w:t>
        <w:br/>
        <w:t>However, readability is more than just programming style.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As early as the 9th century, a programmable music sequencer was invented by the Persian Banu Musa brothers, who described an automated mechanical flute player in the Book of Ingenious Devices.</w:t>
        <w:br/>
        <w:t>Transpiling on the other hand, takes the source-code from a high-level programming language and converts it into bytecode.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In 1801, the Jacquard loom could produce entirely different weaves by changing the "program" – a series of pasteboard cards with holes punched in them.</w:t>
        <w:br/>
        <w:t>He gave the first description of cryptanalysis by frequency analysis, the earliest code-breaking algorithm.</w:t>
        <w:br/>
        <w:t>Many factors, having little or nothing to do with the ability of the computer to efficiently compile and execute the code, contribute to readability.</w:t>
        <w:br/>
        <w:t>Relatedly, software engineering combines engineering techniques and principles with software development.</w:t>
        <w:br/>
        <w:t>Programming languages are essential for software development.</w:t>
        <w:br/>
        <w:t>Compiling takes the source code from a low-level programming language and converts it into machine 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