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 gave the first description of cryptanalysis by frequency analysis, the earliest code-breaking algorithm.</w:t>
        <w:br/>
        <w:t>One approach popular for requirements analysis is Use Case analysis.</w:t>
        <w:br/>
        <w:t>Integrated development environments (IDEs) aim to integrate all such help.</w:t>
        <w:br/>
        <w:t>He gave the first description of cryptanalysis by frequency analysis, the earliest code-breaking algorithm.</w:t>
        <w:br/>
        <w:t>Programming languages are essential for software development.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Integrated development environments (IDEs) aim to integrate all such help.</w:t>
        <w:br/>
        <w:t>Many applications use a mix of several languages in their construction and use.</w:t>
        <w:br/>
        <w:t>Compilers harnessed the power of computers to make programming easier by allowing programmers to specify calculations by entering a formula using infix notation.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  <w:br/>
        <w:t xml:space="preserve"> Code-breaking algorithms have also existed for centuries.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Many factors, having little or nothing to do with the ability of the computer to efficiently compile and execute the code, contribute to readability.</w:t>
        <w:br/>
        <w:t xml:space="preserve"> Code-breaking algorithms have also existed for centuries.</w:t>
        <w:br/>
        <w:t>Assembly languages were soon developed that let the programmer specify instruction in a text format (e.g., ADD X, TOTAL), with abbreviations for each operation code and meaningful names for specifying addresses.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