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Integrated development environments (IDEs) aim to integrate all such help.</w:t>
        <w:br/>
        <w:t>However, with the concept of the stored-program computer introduced in 1949, both programs and data were stored and manipulated in the same way in computer memory.</w:t>
        <w:br/>
        <w:t>Proficient programming thus usually requires expertise in several different subjects, including knowledge of the application domain, specialized algorithms, and formal logic.</w:t>
        <w:br/>
        <w:t>Programming involves tasks such as analysis, generating algorithms, profiling algorithms' accuracy and resource consumption, and the implementation of algorithms (usually in a particular programming language, commonly referred to as coding).</w:t>
        <w:br/>
        <w:t>Proficient programming thus usually requires expertise in several different subjects, including knowledge of the application domain, specialized algorithms, and formal logic.</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those involved with software development may at times engage in reverse engineering, which is the practice of seeking to understand an existing program so as to re-implement its function in some way.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Programs were mostly entered using punched cards or paper tape.</w:t>
        <w:br/>
        <w:t xml:space="preserve"> Programmable devices have existed for centuries.</w:t>
        <w:br/>
        <w:t xml:space="preserve"> Various visual programming languages have also been developed with the intent to resolve readability concerns by adopting non-traditional approaches to code structure and display.</w:t>
        <w:br/>
        <w:t>Many factors, having little or nothing to do with the ability of the computer to efficiently compile and execute the code, contribute to readability.</w:t>
        <w:br/>
        <w:t>Assembly languages were soon developed that let the programmer specify instruction in a text format (e.g., ADD X, TOTAL), with abbreviations for each operation code and meaningful names for specifying addresses.</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