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Proficient programming thus usually requires expertise in several different subjects, including knowledge of the application domain, specialized algorithms, and formal logic.</w:t>
        <w:br/>
        <w:t>Also, specific user environment and usage history can make it difficult to reproduce the problem.</w:t>
        <w:br/>
        <w:t>This is interpreted into machine code.</w:t>
        <w:br/>
        <w:t>One approach popular for requirements analysis is Use Case analysis.</w:t>
        <w:br/>
        <w:t xml:space="preserve"> Popular modeling techniques include Object-Oriented Analysis and Design (OOAD) and Model-Driven Architecture (MDA).</w:t>
        <w:br/>
        <w:t>Assembly languages were soon developed that let the programmer specify instruction in a text format (e.g., ADD X, TOTAL), with abbreviations for each operation code and meaningful names for specifying addresses.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