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By the late 1960s, data storage devices and computer terminals became inexpensive enough that programs could be created by typing directly into the computers.</w:t>
        <w:br/>
        <w:t>By the late 1960s, data storage devices and computer terminals became inexpensive enough that programs could be created by typing directly into the computers.</w:t>
        <w:br/>
        <w:t>The choice of language used is subject to many considerations, such as company policy, suitability to task, availability of third-party packages, or individual preference.</w:t>
        <w:br/>
        <w:t>Compilers harnessed the power of computers to make programming easier by allowing programmers to specify calculations by entering a formula using infix notation.</w:t>
        <w:br/>
        <w:t>However, readability is more than just programming style.</w:t>
        <w:br/>
        <w:t>However, with the concept of the stored-program computer introduced in 1949, both programs and data were stored and manipulated in the same way in computer memory.</w:t>
        <w:br/>
        <w:t>Also, specific user environment and usage history can make it difficult to reproduce the problem.</w:t>
        <w:br/>
        <w:t>Ideally, the programming language best suited for the task at hand will be selected.</w:t>
        <w:br/>
        <w:t>This is interpreted into machine code.</w:t>
        <w:br/>
        <w:t xml:space="preserve"> Programs were mostly entered using punched cards or paper tape.</w:t>
        <w:br/>
        <w:t xml:space="preserve"> The first step in most formal software development processes is requirements analysis, followed by testing to determine value modeling, implementation, and failure elimination (debugging).</w:t>
        <w:br/>
        <w:br/>
        <w:t>The first compiler related tool, the A-0 System, was developed in 1952 by Grace Hopper, who also coined the term 'compiler'.</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