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However, readability is more than just programming style.</w:t>
        <w:br/>
        <w:t xml:space="preserve"> Programmable devices have existed for centuries.</w:t>
        <w:br/>
        <w:t>Compiling takes the source code from a low-level programming language and converts it into machine code.</w:t>
        <w:br/>
        <w:t xml:space="preserve"> Machine code was the language of early programs, written in the instruction set of the particular machine, often in binary notation.</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