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Integrated development environments (IDEs) aim to integrate all such help.</w:t>
        <w:br/>
        <w:t>Many programmers use forms of Agile software development where the various stages of formal software development are more integrated together into short cycles that take a few weeks rather than years.</w:t>
        <w:br/>
        <w:t>When debugging the problem in a GUI, the programmer can try to skip some user interaction from the original problem description and check if remaining actions are sufficient for bugs to appear.</w:t>
        <w:br/>
        <w:t>They are the building blocks for all software, from the simplest applications to the most sophisticated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the 9th century, the Arab mathematician Al-Kindi described a cryptographic algorithm for deciphering encrypted code, in A Manuscript on Deciphering Cryptographic Messages.</w:t>
        <w:br/>
        <w:t>Some text editors such as Emacs allow GDB to be invoked through them, to provide a visual environment.</w:t>
        <w:br/>
        <w:t>However, Charles Babbage had already written his first program for the Analytical Engine in 1837.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text editors such as Emacs allow GDB to be invoked through them, to provide a visual environment.</w:t>
        <w:br/>
        <w:t>Also, specific user environment and usage history can make it difficult to reproduce the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languages are more prone to some kinds of faults because their specification does not require compilers to perform as much checking as other languages.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