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Use of a static code analysis tool can help detect some possible problems.</w:t>
        <w:br/>
        <w:t>Also, those involved with software development may at times engage in reverse engineering, which is the practice of seeking to understand an existing program so as to re-implement its function in some way.</w:t>
        <w:br/>
        <w:t>Provided the functions in a library follow the appropriate run-time conventions (e.g., method of passing arguments), then these functions may be written in any other language.</w:t>
        <w:b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However, because an assembly language is little more than a different notation for a machine language,  two machines with different instruction sets also have different assembly languages.</w:t>
        <w:br/>
        <w:t>For example, COBOL is still strong in corporate data centers often on large mainframe computers, Fortran in engineering applications, scripting languages in Web development, and C in embedded software.</w:t>
        <w:br/>
        <w:t>However, because an assembly language is little more than a different notation for a machine language,  two machines with different instruction sets also have different assembly languages.</w:t>
        <w:br/>
        <w:t xml:space="preserve"> Following a consistent programming style often helps readability.</w:t>
        <w:br/>
        <w:t xml:space="preserve"> Popular modeling techniques include Object-Oriented Analysis and Design (OOAD) and Model-Driven Architecture (MDA).</w:t>
        <w:br/>
        <w:t>It affects the aspects of quality above, including portability, usability and most importantly maintainability.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