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This can be a non-trivial task, for example as with parallel processes or some unusual software bugs.</w:t>
        <w:br/>
        <w:t>Transpiling on the other hand, takes the source-code from a high-level programming language and converts it into bytecode.</w:t>
        <w:br/>
        <w:t>There exist a lot of different approaches for each of those tasks.</w:t>
        <w:br/>
        <w:t>It affects the aspects of quality above, including portability, usability and most importantly maintainability.</w:t>
        <w:br/>
        <w:t>Unreadable code often leads to bugs, inefficiencies, and duplicated code.</w:t>
        <w:br/>
        <w:t>However, Charles Babbage had already written his first program for the Analytical Engine in 1837.</w:t>
        <w:br/>
        <w:t>Also, specific user environment and usage history can make it difficult to reproduce the problem.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Use of a static code analysis tool can help detect some possible problems.</w:t>
        <w:br/>
        <w:t xml:space="preserve"> Popular modeling techniques include Object-Oriented Analysis and Design (OOAD) and Model-Driven Architecture (MDA).</w:t>
        <w:br/>
        <w:t>The source code of a program is written in one or more languages that are intelligible to programmers, rather than machine code, which is directly executed by the central processing unit.</w:t>
        <w:br/>
        <w:t>By the late 1960s, data storage devices and computer terminals became inexpensive enough that programs could be created by typing directly into the computers.</w:t>
        <w:br/>
        <w:t xml:space="preserve"> Machine code was the language of early programs, written in the instruction set of the particular machine, often in binary notation.</w:t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