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Some text editors such as Emacs allow GDB to be invoked through them, to provide a visual environment.</w:t>
        <w:br/>
        <w:t>He gave the first description of cryptanalysis by frequency analysis, the earliest code-breaking algorithm.</w:t>
        <w:br/>
        <w:t>It is usually easier to code in "high-level" languages than in "low-level" ones.</w:t>
        <w:br/>
        <w:t>The Unified Modeling Language (UML) is a notation used for both the OOAD and MDA.</w:t>
        <w:br/>
        <w:t>It is usually easier to code in "high-level" languages than in "low-level" ones.</w:t>
        <w:br/>
        <w:t xml:space="preserve"> Various visual programming languages have also been developed with the intent to resolve readability concerns by adopting non-traditional approaches to code structure and display.</w:t>
        <w:br/>
        <w:t>In the 9th century, the Arab mathematician Al-Kindi described a cryptographic algorithm for deciphering encrypted code, in A Manuscript on Deciphering Cryptographic Messages.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