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COBOL is still strong in corporate data centers often on large mainframe computers, Fortran in engineering applications, scripting languages in Web development, and C in embedded software.</w:t>
        <w:br/>
        <w:t>This can be a non-trivial task, for example as with parallel processes or some unusual software bugs.</w:t>
        <w:br/>
        <w:t>Use of a static code analysis tool can help detect some possible problems.</w:t>
        <w:br/>
        <w:t>Provided the functions in a library follow the appropriate run-time conventions (e.g., method of passing arguments), then these functions may be written in any other language.</w:t>
        <w:br/>
        <w:t>Ideally, the programming language best suited for the task at hand will be selected.</w:t>
        <w:br/>
        <w:t>It is usually easier to code in "high-level" languages than in "low-level" ones.</w:t>
        <w:br/>
        <w:t>Trial-and-error/divide-and-conquer is needed: the programmer will try to remove some parts of the original test case and check if the problem still exists.</w:t>
        <w:br/>
        <w:t>He gave the first description of cryptanalysis by frequency analysis, the earliest code-breaking algorithm.</w:t>
        <w:br/>
        <w:t>Also, specific user environment and usage history can make it difficult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