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This can be a non-trivial task, for example as with parallel processes or some unusual software bugs.</w:t>
        <w:br/>
        <w:t>Trial-and-error/divide-and-conquer is needed: the programmer will try to remove some parts of the original test case and check if the problem still exists.</w:t>
        <w:br/>
        <w:t>He gave the first description of cryptanalysis by frequency analysis, the earliest code-breaking algorithm.</w:t>
        <w:br/>
        <w:t>The choice of language used is subject to many considerations, such as company policy, suitability to task, availability of third-party packages, or individual preference.</w:t>
        <w:br/>
        <w:t>Proficient programming thus usually requires expertise in several different subjects, including knowledge of the application domain, specialized algorithms, and formal logic.</w:t>
        <w:br/>
        <w:t>Relatedly, software engineering combines engineering techniques and principles with software development.</w:t>
        <w:br/>
        <w:t>The purpose of programming is to find a sequence of instructions that will automate the performance of a task (which can be as complex as an operating system) on a computer, often for solving a given problem.</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Integrated development environments (IDEs) aim to integrate all such help.</w:t>
        <w:br/>
        <w:t>Scripting and breakpointing is also part of this process.</w:t>
        <w:br/>
        <w:t>However, Charles Babbage had already written his first program for the Analytical Engine in 1837.</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