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The choice of language used is subject to many considerations, such as company policy, suitability to task, availability of third-party packages, or individual preference.</w:t>
        <w:br/>
        <w:t>However, readability is more than just programming style.</w:t>
        <w:br/>
        <w:t>By the late 1960s, data storage devices and computer terminals became inexpensive enough that programs could be created by typing directly into the computers.</w:t>
        <w:br/>
        <w:t xml:space="preserve"> The academic field and the engineering practice of computer programming are both largely concerned with discovering and implementing the most efficient algorithms for a given class of problems.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Compilers harnessed the power of computers to make programming easier by allowing programmers to specify calculations by entering a formula using infix notation.</w:t>
        <w:br/>
        <w:t>There exist a lot of different approaches for each of those tasks.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