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One approach popular for requirements analysis is Use Case analysis.</w:t>
        <w:br/>
        <w:t>Compiling takes the source code from a low-level programming language and converts it into machine code.</w:t>
        <w:br/>
        <w:t xml:space="preserve"> The academic field and the engineering practice of computer programming are both largely concerned with discovering and implementing the most efficient algorithms for a given class of problems.</w:t>
        <w:br/>
        <w:t>However, readability is more than just programming style.</w:t>
        <w:br/>
        <w:t>Integrated development environments (IDEs) aim to integrate all such help.</w:t>
        <w:br/>
        <w:t>The choice of language used is subject to many considerations, such as company policy, suitability to task, availability of third-party packages, or individual preference.</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