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However, Charles Babbage had already written his first program for the Analytical Engine in 1837.</w:t>
        <w:br/>
        <w:t>Normally the first step in debugging is to attempt to reproduce the problem.</w:t>
        <w:br/>
        <w:t>Trial-and-error/divide-and-conquer is needed: the programmer will try to remove some parts of the original test case and check if the problem still exists.</w:t>
        <w:br/>
        <w:t>Normally the first step in debugging is to attempt to reproduce the problem.</w:t>
        <w:br/>
        <w:t>By the late 1960s, data storage devices and computer terminals became inexpensive enough that programs could be created by typing directly into the computers.</w:t>
        <w:br/>
        <w:t>It affects the aspects of quality above, including portability, usability and most importantly maintainability.</w:t>
        <w:br/>
        <w:t>In the 9th century, the Arab mathematician Al-Kindi described a cryptographic algorithm for deciphering encrypted code, in A Manuscript on Deciphering Cryptographic Messages.</w:t>
        <w:br/>
        <w:t>The choice of language used is subject to many considerations, such as company policy, suitability to task, availability of third-party packages, or individual preference.</w:t>
        <w:br/>
        <w:t>Programming languages are essential for software development.</w:t>
        <w:br/>
        <w:t>Relatedly, software engineering combines engineering techniques and principles with software development.</w:t>
        <w:br/>
        <w:t xml:space="preserve"> Computer programmers are those who write computer software.</w:t>
        <w:br/>
        <w:t>Many factors, having little or nothing to do with the ability of the computer to efficiently compile and execute the code, contribute to readability.</w:t>
        <w:br/>
        <w:t>There exist a lot of different approaches for each of those tasks.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