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 xml:space="preserve"> Following a consistent programming style often helps readability.</w:t>
        <w:br/>
        <w:t>He gave the first description of cryptanalysis by frequency analysis, the earliest code-breaking algorithm.</w:t>
        <w:br/>
        <w:t xml:space="preserve"> Code-breaking algorithms have also existed for centuries.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