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As early as the 9th century, a programmable music sequencer was invented by the Persian Banu Musa brothers, who described an automated mechanical flute player in the Book of Ingenious Devices.</w:t>
        <w:br/>
        <w:t>This is interpreted into machine code.</w:t>
        <w:br/>
        <w:t>Compiling takes the source code from a low-level programming language and converts it into machine code.</w:t>
        <w:br/>
        <w:t>By the late 1960s, data storage devices and computer terminals became inexpensive enough that programs could be created by typing directly into the computers.</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br/>
        <w:t>FORTRAN, the first widely used high-level language to have a functional implementation, came out in 1957, and many other languages were soon developed—in particular, COBOL aimed at commercial data processing, and Lisp for computer research.</w:t>
        <w:br/>
        <w:t>Relatedly, software engineering combines engineering techniques and principles with software development.</w:t>
        <w:br/>
        <w:t>In 1206, the Arab engineer Al-Jazari invented a programmable drum machine where a musical mechanical automaton could be made to play different rhythms and drum patterns, via pegs and cams.</w:t>
        <w:br/>
        <w:t xml:space="preserve"> Computer programmers are those who write computer software.</w:t>
        <w:br/>
        <w:t xml:space="preserve"> Tasks accompanying and related to programming include testing, debugging, source code maintenance, implementation of build systems, and management of derived artifacts, such as the machine code of computer programs.</w:t>
        <w:br/>
        <w:t>Some of these factors include:</w:t>
        <w:br/>
        <w:t xml:space="preserve"> The presentation aspects of this (such as indents, line breaks, color highlighting, and so on) are often handled by the source code editor, but the content aspects reflect the programmer's talent and skills.</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