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Ideally, the programming language best suited for the task at hand will be selected.</w:t>
        <w:br/>
        <w:t>Unreadable code often leads to bugs, inefficiencies, and duplicated code.</w:t>
        <w:br/>
        <w:t>Compilers harnessed the power of computers to make programming easier by allowing programmers to specify calculations by entering a formula using infix notation.</w:t>
        <w:br/>
        <w:t>However, readability is more than just programming style.</w:t>
        <w:br/>
        <w:t>For example, when a bug in a compiler can make it crash when parsing some large source file, a simplification of the test case that results in only few lines from the original source file can be sufficient to reproduce the same crash.</w:t>
        <w:br/>
        <w:t>This is interpreted into machine code.</w:t>
        <w:br/>
        <w:t>Compilers harnessed the power of computers to make programming easier by allowing programmers to specify calculations by entering a formula using infix notation.</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Trial-and-error/divide-and-conquer is needed: the programmer will try to remove some parts of the original test case and check if the problem still exists.</w:t>
        <w:b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br/>
        <w:t>Transpiling on the other hand, takes the source-code from a high-level programming language and converts it into bytecode.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