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In the 9th century, the Arab mathematician Al-Kindi described a cryptographic algorithm for deciphering encrypted code, in A Manuscript on Deciphering Cryptographic Messages.</w:t>
        <w:br/>
        <w:t>This can be a non-trivial task, for example as with parallel processes or some unusual software bugs.</w:t>
        <w:br/>
        <w:t>Expert programmers are familiar with a variety of well-established algorithms and their respective complexities and use this knowledge to choose algorithms that are best suited to the circumstances.</w:t>
        <w:br/>
        <w:t>It affects the aspects of quality above, including portability, usability and most importantly maintainability.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Ideally, the programming language best suited for the task at hand will be selected.</w:t>
        <w:br/>
        <w:t xml:space="preserve"> Implementation techniques include imperative languages (object-oriented or procedural), functional languages, and logic languages.</w:t>
        <w:br/>
        <w:t>Use of a static code analysis tool can help detect some possible problems.</w:t>
        <w:br/>
        <w:t xml:space="preserve"> Various visual programming languages have also been developed with the intent to resolve readability concerns by adopting non-traditional approaches to code structure and display.</w:t>
        <w:br/>
        <w:t>By the late 1960s, data storage devices and computer terminals became inexpensive enough that programs could be created by typing directly into the computers.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