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Some text editors such as Emacs allow GDB to be invoked through them, to provide a visual environment.</w:t>
        <w:br/>
        <w:t>Compilers harnessed the power of computers to make programming easier by allowing programmers to specify calculations by entering a formula using infix notation.</w:t>
        <w:br/>
        <w:t>Many applications use a mix of several languages in their construction and use.</w:t>
        <w:br/>
        <w:t>Proficient programming thus usually requires expertise in several different subjects, including knowledge of the application domain, specialized algorithms, and formal logic.</w:t>
        <w:br/>
        <w:t xml:space="preserve"> Programmable devices have existed for centuries.</w:t>
        <w:br/>
        <w:br/>
        <w:t xml:space="preserve"> Programmable devices have existed for centuries.</w:t>
        <w:br/>
        <w:t>The Unified Modeling Language (UML) is a notation used for both the OOAD and MDA.</w:t>
        <w:br/>
        <w:t xml:space="preserve"> Various visual programming languages have also been developed with the intent to resolve readability concerns by adopting non-traditional approaches to code structure and display.</w:t>
        <w:br/>
        <w:br/>
        <w:t>The first compiler related tool, the A-0 System, was developed in 1952 by Grace Hopper, who also coined the term 'compiler'.</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