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Some languages are more prone to some kinds of faults because their specification does not require compilers to perform as much checking as other languages.</w:t>
        <w:br/>
        <w:t>However, because an assembly language is little more than a different notation for a machine language,  two machines with different instruction sets also have different assembly languages.</w:t>
        <w:br/>
        <w:t>Some languages are more prone to some kinds of faults because their specification does not require compilers to perform as much checking as other languages.</w:t>
        <w:br/>
        <w:t>Many applications use a mix of several languages in their construction and use.</w:t>
        <w:br/>
        <w:t>Many factors, having little or nothing to do with the ability of the computer to efficiently compile and execute the code, contribute to readability.</w:t>
        <w:br/>
        <w:t>Compilers harnessed the power of computers to make programming easier by allowing programmers to specify calculations by entering a formula using infix notation.</w:t>
        <w:b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FORTRAN, the first widely used high-level language to have a functional implementation, came out in 1957, and many other languages were soon developed—in particular, COBOL aimed at commercial data processing, and Lisp for computer research.</w:t>
        <w:br/>
        <w:t>Many factors, having little or nothing to do with the ability of the computer to efficiently compile and execute the code, contribute to readability.</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For this purpose, algorithms are classified into orders using so-called Big O notation, which expresses resource use, such as execution time or memory consumption, in terms of the size of an input.</w:t>
        <w:br/>
        <w:t xml:space="preserve"> Allen Downey, in his book How To Think Like A Computer Scientist, writes:</w:t>
        <w:br/>
        <w:t xml:space="preserve"> Many computer languages provide a mechanism to call functions provided by shared libraries.</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