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Compiling takes the source code from a low-level programming language and converts it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programmers use forms of Agile software development where the various stages of formal software development are more integrated together into short cycles that take a few weeks rather than years.</w:t>
        <w:br/>
        <w:t>The Unified Modeling Language (UML) is a notation used for both the OOAD and MDA.</w:t>
        <w:br/>
        <w:t>Many factors, having little or nothing to do with the ability of the computer to efficiently compile and execute the code, contribute to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Trial-and-error/divide-and-conquer is needed: the programmer will try to remove some parts of the original test case and check if the problem still exists.</w:t>
        <w:br/>
        <w:t>Some text editors such as Emacs allow GDB to be invoked through them, to provide a visual environment.</w:t>
        <w:br/>
        <w:t>Provided the functions in a library follow the appropriate run-time conventions (e.g., method of passing arguments), then these functions may be written in any other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Techniques like Code refactoring can enhance readability.</w:t>
        <w:br/>
        <w:t xml:space="preserve"> Various visual programming languages have also been developed with the intent to resolve readability concerns by adopting non-traditional approaches to code structure and display.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