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affects the aspects of quality above, including portability, usability and most importantly maintainability.</w:t>
        <w:br/>
        <w:t>However, with the concept of the stored-program computer introduced in 1949, both programs and data were stored and manipulated in the same way in computer memory.</w:t>
        <w:br/>
        <w:t>However, Charles Babbage had already written his first program for the Analytical Engine in 1837.</w:t>
        <w:br/>
        <w:t>Text editors were also developed that allowed changes and corrections to be made much more easily than with punched cards.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When debugging the problem in a GUI, the programmer can try to skip some user interaction from the original problem description and check if remaining actions are sufficient for bugs to appear.</w:t>
        <w:br/>
        <w:t>Normally the first step in debugging is to attempt to reproduce the problem.</w:t>
        <w:br/>
        <w:t>In the 9th century, the Arab mathematician Al-Kindi described a cryptographic algorithm for deciphering encrypted code, in A Manuscript on Deciphering Cryptographic Messages.</w:t>
        <w:br/>
        <w:t>Use of a static code analysis tool can help detect some possible problems.</w:t>
        <w:br/>
        <w:t>Many applications use a mix of several languages in their construction and use.</w:t>
        <w:br/>
        <w:t>They are the building blocks for all software, from the simplest applications to the most sophisticated ones.</w:t>
        <w:br/>
        <w:t>Unreadable code often leads to bugs, inefficiencies, and duplicated code.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