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Unreadable code often leads to bugs, inefficiencies, and duplicated code.</w:t>
        <w:br/>
        <w:t>One approach popular for requirements analysis is Use Case analysis.</w:t>
        <w:br/>
        <w:t>This is interpreted into machine code.</w:t>
        <w:br/>
        <w:t xml:space="preserve"> Whatever the approach to development may be, the final program must satisfy some fundamental properties.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Many factors, having little or nothing to do with the ability of the computer to efficiently compile and execute the code, contribute to readability.</w:t>
        <w:br/>
        <w:t xml:space="preserve"> Programs were mostly entered using punched cards or paper tape.</w:t>
        <w:br/>
        <w:t>It is usually easier to code in "high-level" languages than in "low-level" ones.</w:t>
        <w:br/>
        <w:t>One approach popular for requirements analysis is Use Case analysis.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In the 1880s, Herman Hollerith invented the concept of storing data in machine-readable form.</w:t>
        <w:br/>
        <w:t>Many factors, having little or nothing to do with the ability of the computer to efficiently compile and execute the code, contribute to readability.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