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He gave the first description of cryptanalysis by frequency analysis, the earliest code-breaking algorithm.</w:t>
        <w:br/>
        <w:t>Use of a static code analysis tool can help detect some possible problems.</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 xml:space="preserve"> A similar technique used for database design is Entity-Relationship Modeling (ER Modeling).</w:t>
        <w:br/>
        <w:t>The Unified Modeling Language (UML) is a notation used for both the OOAD and MDA.</w:t>
        <w:br/>
        <w:t>Provided the functions in a library follow the appropriate run-time conventions (e.g., method of passing arguments), then these functions may be written in any other language.</w:t>
        <w:br/>
        <w:t xml:space="preserve"> High-level languages made the process of developing a program simpler and more understandable, and less bound to the underlying hardware.</w:t>
        <w:br/>
        <w:t>Many factors, having little or nothing to do with the ability of the computer to efficiently compile and execute the code, contribute to readability.</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