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of these factors include:</w:t>
        <w:br/>
        <w:t xml:space="preserve"> The presentation aspects of this (such as indents, line breaks, color highlighting, and so on) are often handled by the source code editor, but the content aspects reflect the programmer's talent and skills.</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They are the building blocks for all software, from the simplest applications to the most sophisticated ones.</w:t>
        <w:br/>
        <w:t>To produce machine code, the source code must either be compiled or transpiled.</w:t>
        <w:br/>
        <w:t>Relatedly, software engineering combines engineering techniques and principles with software development.</w:t>
        <w:br/>
        <w:t>Many programmers use forms of Agile software development where the various stages of formal software development are more integrated together into short cycles that take a few weeks rather than years.</w:t>
        <w:br/>
        <w:t>Relatedly, software engineering combines engineering techniques and principles with software development.</w:t>
        <w:br/>
        <w:t>The choice of language used is subject to many considerations, such as company policy, suitability to task, availability of third-party packages, or individual preference.</w:t>
        <w:br/>
        <w:t>Provided the functions in a library follow the appropriate run-time conventions (e.g., method of passing arguments), then these functions may be written in any other language.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Popular modeling techniques include Object-Oriented Analysis and Design (OOAD) and Model-Driven Architecture (MDA).</w:t>
        <w:br/>
        <w:t>There exist a lot of different approaches for each of those tasks.</w:t>
        <w:br/>
        <w:t xml:space="preserve"> Debugging is often done with IDEs. Standalone debuggers like GDB are also used, and these often provide less of a visual environment, usually using a command 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