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Proficient programming thus usually requires expertise in several different subjects, including knowledge of the application domain, specialized algorithms, and formal logic.</w:t>
        <w:br/>
        <w:t>Compilers harnessed the power of computers to make programming easier by allowing programmers to specify calculations by entering a formula using infix notation.</w:t>
        <w:br/>
        <w:t>Assembly languages were soon developed that let the programmer specify instruction in a text format (e.g., ADD X, TOTAL), with abbreviations for each operation code and meaningful names for specifying addresses.</w:t>
        <w:br/>
        <w:t>FORTRAN, the first widely used high-level language to have a functional implementation, came out in 1957, and many other languages were soon developed—in particular, COBOL aimed at commercial data processing, and Lisp for computer research.</w:t>
        <w:br/>
        <w:t>However, readability is more than just programming style.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Trial-and-error/divide-and-conquer is needed: the programmer will try to remove some parts of the original test case and check if the problem still exists.</w:t>
        <w:br/>
        <w:t>Use of a static code analysis tool can help detect some possible problems.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are many approaches to the Software development process.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There are many approaches to the Software development process.</w:t>
        <w:br/>
        <w:t>Assembly languages were soon developed that let the programmer specify instruction in a text format (e.g., ADD X, TOTAL), with abbreviations for each operation code and meaningful names for specifying addresses.</w:t>
        <w:br/>
        <w:t>This is interpreted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