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It is usually easier to code in "high-level" languages than in "low-level" ones.</w:t>
        <w:br/>
        <w:t>Proficient programming thus usually requires expertise in several different subjects, including knowledge of the application domain, specialized algorithms, and formal logic.</w:t>
        <w:br/>
        <w:t>Provided the functions in a library follow the appropriate run-time conventions (e.g., method of passing arguments), then these functions may be written in any other language.</w:t>
        <w:br/>
        <w:t>There exist a lot of different approaches for each of those tasks.</w:t>
        <w:br/>
        <w:t>Ideally, the programming language best suited for the task at hand will be selected.</w:t>
        <w:br/>
        <w:t>Also, specific user environment and usage history can make it difficult to reproduce the problem.</w:t>
        <w:br/>
        <w:t>It affects the aspects of quality above, including portability, usability and most importantly maintainability.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factors, having little or nothing to do with the ability of the computer to efficiently compile and execute the code, contribute to readability.</w:t>
        <w:br/>
        <w:t>However, readability is more than just programming style.</w:t>
        <w:br/>
        <w:t xml:space="preserve"> Debugging is a very important task in the software development process since having defects in a program can have significant consequences for its users.</w:t>
        <w:br/>
        <w:br/>
        <w:t>The first compiler related tool, the A-0 System, was developed in 1952 by Grace Hopper, who also coined the term 'compiler'.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