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However, readability is more than just programming style.</w:t>
        <w:br/>
        <w:t>To produce machine code, the source code must either be compiled or transpiled.</w:t>
        <w:br/>
        <w:t>Relatedly, software engineering combines engineering techniques and principles with software development.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He gave the first description of cryptanalysis by frequency analysis, the earliest code-breaking algorithm.</w:t>
        <w:br/>
        <w:t>Integrated development environments (IDEs) aim to integrate all such help.</w:t>
        <w:br/>
        <w:t>The purpose of programming is to find a sequence of instructions that will automate the performance of a task (which can be as complex as an operating system) on a computer, often for solving a given problem.</w:t>
        <w:br/>
        <w:t>Many factors, having little or nothing to do with the ability of the computer to efficiently compile and execute the code, contribute to readability.</w:t>
        <w:br/>
        <w:t xml:space="preserve"> Readability is important because programmers spend the majority of their time reading, trying to understand, reusing and modifying existing source code, rather than writing new source code.</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