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For example, when a bug in a compiler can make it crash when parsing some large source file, a simplification of the test case that results in only few lines from the original source file can be sufficient to reproduce the same crash.</w:t>
        <w:br/>
        <w:t>Proficient programming thus usually requires expertise in several different subjects, including knowledge of the application domain, specialized algorithms, and formal logic.</w:t>
        <w:br/>
        <w:t>However, readability is more than just programming style.</w:t>
        <w:br/>
        <w:t>However, readability is more than just programming style.</w:t>
        <w:br/>
        <w:t xml:space="preserve"> Following a consistent programming style often helps readability.</w:t>
        <w:br/>
        <w:t>Trial-and-error/divide-and-conquer is needed: the programmer will try to remove some parts of the original test case and check if the problem still exists.</w:t>
        <w:br/>
        <w:t>However, Charles Babbage had already written his first program for the Analytical Engine in 1837.</w:t>
        <w:br/>
        <w:t>There exist a lot of different approaches for each of those tasks.</w:t>
        <w:br/>
        <w:t xml:space="preserve"> The academic field and the engineering practice of computer programming are both largely concerned with discovering and implementing the most efficient algorithms for a given class of problems.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