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To produce machine code, the source code must either be compiled or transpiled.</w:t>
        <w:br/>
        <w:t>Ideally, the programming language best suited for the task at hand will be selected.</w:t>
        <w:br/>
        <w:t>Text editors were also developed that allowed changes and corrections to be made much more easily than with punched cards.</w:t>
        <w:br/>
        <w:t>For this purpose, algorithms are classified into orders using so-called Big O notation, which expresses resource use, such as execution time or memory consumption, in terms of the size of an input.</w:t>
        <w:br/>
        <w:t>This is interpreted into machine code.</w:t>
        <w:br/>
        <w:t>Many programmers use forms of Agile software development where the various stages of formal software development are more integrated together into short cycles that take a few weeks rather than years.</w:t>
        <w:br/>
        <w:t>Proficient programming thus usually requires expertise in several different subjects, including knowledge of the application domain, specialized algorithms, and formal logic.</w:t>
        <w:br/>
        <w:t xml:space="preserve"> Implementation techniques include imperative languages (object-oriented or procedural), functional languages, and logic languages.</w:t>
        <w:br/>
        <w:t>He gave the first description of cryptanalysis by frequency analysis, the earliest code-breaking algorithm.</w:t>
        <w:br/>
        <w:t>The following properties are among the most important:</w:t>
        <w:br/>
        <w:br/>
        <w:t xml:space="preserve"> In computer programming, readability refers to the ease with which a human reader can comprehend the purpose, control flow, and operation of source code.</w:t>
        <w:br/>
        <w:t>The choice of language used is subject to many considerations, such as company policy, suitability to task, availability of third-party packages, or individual preference.</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