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There exist a lot of different approaches for each of those tasks.</w:t>
        <w:br/>
        <w:t>Many factors, having little or nothing to do with the ability of the computer to efficiently compile and execute the code, contribute to readability.</w:t>
        <w:br/>
        <w:t>To produce machine code, the source code must either be compiled or transpiled.</w:t>
        <w:br/>
        <w:t>Trial-and-error/divide-and-conquer is needed: the programmer will try to remove some parts of the original test case and check if the problem still exists.</w:t>
        <w:br/>
        <w:t>Also, specific user environment and usage history can make it difficult to reproduce the problem.</w:t>
        <w:br/>
        <w:t>Unreadable code often leads to bugs, inefficiencies, and duplicated code.</w:t>
        <w:br/>
        <w:t>Some text editors such as Emacs allow GDB to be invoked through them, to provide a visual environment.</w:t>
        <w:br/>
        <w:t>Some text editors such as Emacs allow GDB to be invoked through them, to provide a visual environment.</w:t>
        <w:br/>
        <w:t xml:space="preserve"> The academic field and the engineering practice of computer programming are both largely concerned with discovering and implementing the most efficient algorithms for a given class of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The choice of language used is subject to many considerations, such as company policy, suitability to task, availability of third-party packages, or individual preference.</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