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Many factors, having little or nothing to do with the ability of the computer to efficiently compile and execute the code, contribute to readability.</w:t>
        <w:br/>
        <w:t>Provided the functions in a library follow the appropriate run-time conventions (e.g., method of passing arguments), then these functions may be written in any other language.</w:t>
        <w:br/>
        <w:t>However, readability is more than just programming style.</w:t>
        <w:br/>
        <w:t>There exist a lot of different approaches for each of those tasks.</w:t>
        <w:br/>
        <w:t>Many applications use a mix of several languages in their construction and use.</w:t>
        <w:b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It is very difficult to determine what are the most popular modern programming languages.</w:t>
        <w:br/>
        <w:t>Languages form an approximate spectrum from "low-level" to "high-level"; "low-level" languages are typically more machine-oriented and faster to execute, whereas "high-level" languages are more abstract and easier to use but execute less quickly.</w:t>
        <w:b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