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Use of a static code analysis tool can help detect some possible problems.</w:t>
        <w:br/>
        <w:t>However, Charles Babbage had already written his first program for the Analytical Engine in 1837.</w:t>
        <w:br/>
        <w:t>In 1206, the Arab engineer Al-Jazari invented a programmable drum machine where a musical mechanical automaton could be made to play different rhythms and drum patterns, via pegs and cams.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Charles Babbage had already written his first program for the Analytical Engine in 1837.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text editors such as Emacs allow GDB to be invoked through them, to provide a visual environment.</w:t>
        <w:br/>
        <w:t>They are the building blocks for all software, from the simplest applications to the most sophisticated ones.</w:t>
        <w:br/>
        <w:t xml:space="preserve"> After the bug is reproduced, the input of the program may need to be simplified to make it easier to debug.</w:t>
        <w:br/>
        <w:t>Use of a static code analysis tool can help detect some possible problems.</w:t>
        <w:br/>
        <w:t>Provided the functions in a library follow the appropriate run-time conventions (e.g., method of passing arguments), then these functions may be written in any other language.</w:t>
        <w:br/>
        <w:t>The source code of a program is written in one or more languages that are intelligible to programmers, rather than machine code, which is directly executed by the central processing unit.</w:t>
        <w:br/>
        <w:t>It is usually easier to code in "high-level" languages than in "low-level" ones.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