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1801, the Jacquard loom could produce entirely different weaves by changing the "program" – a series of pasteboard cards with holes punched in them.</w:t>
        <w:br/>
        <w:t>Many factors, having little or nothing to do with the ability of the computer to efficiently compile and execute the code, contribute to readability.</w:t>
        <w:br/>
        <w:t>The choice of language used is subject to many considerations, such as company policy, suitability to task, availability of third-party packages, or individual preference.</w:t>
        <w:br/>
        <w:t>Use of a static code analysis tool can help detect some possible problems.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Unified Modeling Language (UML) is a notation used for both the OOAD and MDA.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Compiling takes the source code from a low-level programming language and converts it into machine code.</w:t>
        <w:br/>
        <w:t xml:space="preserve"> Machine code was the language of early programs, written in the instruction set of the particular machine, often in binary notation.</w:t>
        <w:br/>
        <w:t>Unreadable code often leads to bugs, inefficiencies, and duplicated code.</w:t>
        <w:br/>
        <w:t>Many programmers use forms of Agile software development where the various stages of formal software development are more integrated together into short cycles that take a few weeks rather than years.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