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Techniques like Code refactoring can enhance readability.</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Scripting and breakpointing is also part of this process.</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