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Many factors, having little or nothing to do with the ability of the computer to efficiently compile and execute the code, contribute to readability.</w:t>
        <w:br/>
        <w:t>However, Charles Babbage had already written his first program for the Analytical Engine in 1837.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As early as the 9th century, a programmable music sequencer was invented by the Persian Banu Musa brothers, who described an automated mechanical flute player in the Book of Ingenious Devices.</w:t>
        <w:br/>
        <w:t>Ideally, the programming language best suited for the task at hand will be selected.</w:t>
        <w:br/>
        <w:t>Programming languages are essential for software development.</w:t>
        <w:br/>
        <w:t>One approach popular for requirements analysis is Use Case analysis.</w:t>
        <w:br/>
        <w:t>Trial-and-error/divide-and-conquer is needed: the programmer will try to remove some parts of the original test case and check if the problem still exists.</w:t>
        <w:br/>
        <w:t>Compilers harnessed the power of computers to make programming easier by allowing programmers to specify calculations by entering a formula using infix notation.</w:t>
        <w:br/>
        <w:t>Some languages are more prone to some kinds of faults because their specification does not require compilers to perform as much checking as other languages.</w:t>
        <w:br/>
        <w:t>Also, specific user environment and usage history can make it difficult to reproduce the problem.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Different programming languages support different styles of programming (called programming paradigms).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