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Unreadable code often leads to bugs, inefficiencies, and duplicated code.</w:t>
        <w:br/>
        <w:t>This is interpreted into machine code.</w:t>
        <w:br/>
        <w:t>Integrated development environments (IDEs) aim to integrate all such help.</w:t>
        <w:br/>
        <w:t>This can be a non-trivial task, for example as with parallel processes or some unusual software bugs.</w:t>
        <w:br/>
        <w:t>However, Charles Babbage had already written his first program for the Analytical Engine in 1837.</w:t>
        <w:br/>
        <w:t>Also, specific user environment and usage history can make it difficult to reproduce the problem.</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