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Relatedly, software engineering combines engineering techniques and principles with software development.</w:t>
        <w:br/>
        <w:t>However, because an assembly language is little more than a different notation for a machine language,  two machines with different instruction sets also have different assembly languages.</w:t>
        <w:br/>
        <w:t>The source code of a program is written in one or more languages that are intelligible to programmers, rather than machine code, which is directly executed by the central processing unit.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By the late 1960s, data storage devices and computer terminals became inexpensive enough that programs could be created by typing directly into the computers.</w:t>
        <w:br/>
        <w:t>Many applications use a mix of several languages in their construction and use.</w:t>
        <w:br/>
        <w:t>Transpiling on the other hand, takes the source-code from a high-level programming language and converts it into bytecode.</w:t>
        <w:br/>
        <w:t xml:space="preserve"> Readability is important because programmers spend the majority of their time reading, trying to understand, reusing and modifying existing source code, rather than writing new source code.</w:t>
        <w:br/>
        <w:t>Languages form an approximate spectrum from "low-level" to "high-level"; "low-level" languages are typically more machine-oriented and faster to execute, whereas "high-level" languages are more abstract and easier to use but execute less quickly.</w:t>
        <w:br/>
        <w:t>Assembly languages were soon developed that let the programmer specify instruction in a text format (e.g., ADD X, TOTAL), with abbreviations for each operation code and meaningful names for specifying addresses.</w:t>
        <w:br/>
        <w:t xml:space="preserve"> Code-breaking algorithms have also existed for centuries.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Also, specific user environment and usage history can make it difficult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