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is interpreted into machine code.</w:t>
        <w:br/>
        <w:t>Scripting and breakpointing is also part of this process.</w:t>
        <w:br/>
        <w:t>Integrated development environments (IDEs) aim to integrate all such help.</w:t>
        <w:br/>
        <w:t>Some languages are more prone to some kinds of faults because their specification does not require compilers to perform as much checking as other languages.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When debugging the problem in a GUI, the programmer can try to skip some user interaction from the original problem description and check if remaining actions are sufficient for bugs to appear.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In 1801, the Jacquard loom could produce entirely different weaves by changing the "program" – a series of pasteboard cards with holes punched in them.</w:t>
        <w:br/>
        <w:t>Some text editors such as Emacs allow GDB to be invoked through them, to provide a visual environment.</w:t>
        <w:br/>
        <w:t>However, because an assembly language is little more than a different notation for a machine language,  two machines with different instruction sets also have different assembly languages.</w:t>
        <w:br/>
        <w:t>However, because an assembly language is little more than a different notation for a machine language,  two machines with different instruction sets also have different assembly languages.</w:t>
        <w:br/>
        <w:t>The Unified Modeling Language (UML) is a notation used for both the OOAD and MDA.</w:t>
        <w:br/>
        <w:t xml:space="preserve"> Following a consistent programming style often helps readability.</w:t>
        <w:br/>
        <w:t>One approach popular for requirements analysis is Use Case analysis.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