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Compilers harnessed the power of computers to make programming easier by allowing programmers to specify calculations by entering a formula using infix notation.</w:t>
        <w:br/>
        <w:t>The following properties are among the most important:</w:t>
        <w:br/>
        <w:br/>
        <w:t xml:space="preserve"> In computer programming, readability refers to the ease with which a human reader can comprehend the purpose, control flow, and operation of source code.</w:t>
        <w:br/>
        <w:t>For example, when a bug in a compiler can make it crash when parsing some large source file, a simplification of the test case that results in only few lines from the original source file can be sufficient to reproduce the same crash.</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Also, specific user environment and usage history can make it difficult to reproduce the problem.</w:t>
        <w:br/>
        <w:t>The following properties are among the most important:</w:t>
        <w:br/>
        <w:br/>
        <w:t xml:space="preserve"> In computer programming, readability refers to the ease with which a human reader can comprehend the purpose, control flow, and operation of source code.</w:t>
        <w:br/>
        <w:t>As early as the 9th century, a programmable music sequencer was invented by the Persian Banu Musa brothers, who described an automated mechanical flute player in the Book of Ingenious Devices.</w:t>
        <w:br/>
        <w:t>In 1206, the Arab engineer Al-Jazari invented a programmable drum machine where a musical mechanical automaton could be made to play different rhythms and drum patterns, via pegs and cams.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Ideally, the programming language best suited for the task at hand will be selected.</w:t>
        <w:br/>
        <w:t>However, Charles Babbage had already written his first program for the Analytical Engine in 1837.</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