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because an assembly language is little more than a different notation for a machine language,  two machines with different instruction sets also have different assembly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He gave the first description of cryptanalysis by frequency analysis, the earliest code-breaking algorithm.</w:t>
        <w:br/>
        <w:t>Ideally, the programming language best suited for the task at hand will be selected.</w:t>
        <w:br/>
        <w:t>However, Charles Babbage had already written his first program for the Analytical Engine in 1837.</w:t>
        <w:br/>
        <w:t>Many factors, having little or nothing to do with the ability of the computer to efficiently compile and execute the code, contribute to readability.</w:t>
        <w:br/>
        <w:t>Compilers harnessed the power of computers to make programming easier by allowing programmers to specify calculations by entering a formula using infix notation.</w:t>
        <w:br/>
        <w:t>Expert programmers are familiar with a variety of well-established algorithms and their respective complexities and use this knowledge to choose algorithms that are best suited to the circumstances.</w:t>
        <w:br/>
        <w:t>The Unified Modeling Language (UML) is a notation used for both the OOAD and MDA.</w:t>
        <w:br/>
        <w:t>It is usually easier to code in "high-level" languages than in "low-level" ones.</w:t>
        <w:br/>
        <w:t>Ideally, the programming language best suited for the task at hand will be selected.</w:t>
        <w:br/>
        <w:t>It affects the aspects of quality above, including portability, usability and most importantly maintainability.</w:t>
        <w:br/>
        <w:t>By the late 1960s, data storage devices and computer terminals became inexpensive enough that programs could be created by typing directly into the computers.</w:t>
        <w:br/>
        <w:t>Relatedly, software engineering combines engineering techniques and principles with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