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Many factors, having little or nothing to do with the ability of the computer to efficiently compile and execute the code, contribute to readability.</w:t>
        <w:br/>
        <w:t>To produce machine code, the source code must either be compiled or transpiled.</w:t>
        <w:br/>
        <w:t>The choice of language used is subject to many considerations, such as company policy, suitability to task, availability of third-party packages, or individual preference.</w:t>
        <w:br/>
        <w:t>Normally the first step in debugging is to attempt to reproduce the problem.</w:t>
        <w:br/>
        <w:t>Programming languages are essential for software development.</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example, COBOL is still strong in corporate data centers often on large mainframe computers, Fortran in engineering applications, scripting languages in Web development, and C in embedded software.</w:t>
        <w:br/>
        <w:t>In 1206, the Arab engineer Al-Jazari invented a programmable drum machine where a musical mechanical automaton could be made to play different rhythms and drum patterns, via pegs and cams.</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