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Many factors, having little or nothing to do with the ability of the computer to efficiently compile and execute the code, contribute to readability.</w:t>
        <w:br/>
        <w:t>For example, when a bug in a compiler can make it crash when parsing some large source file, a simplification of the test case that results in only few lines from the original source file can be sufficient to reproduce the same crash.</w:t>
        <w:br/>
        <w:t>Many factors, having little or nothing to do with the ability of the computer to efficiently compile and execute the code, contribute to readability.</w:t>
        <w:br/>
        <w:t>However, with the concept of the stored-program computer introduced in 1949, both programs and data were stored and manipulated in the same way in computer memory.</w:t>
        <w:br/>
        <w:t>Also, specific user environment and usage history can make it difficult to reproduce the problem.</w:t>
        <w:br/>
        <w:t>Scripting and breakpointing is also part of this process.</w:t>
        <w:br/>
        <w:t>Use of a static code analysis tool can help detect some possible problems.</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br/>
        <w:t xml:space="preserve"> Computer programming is the process of performing particular computations (or more generally, accomplishing specific computing results), usually by designing and building executable computer programs.</w:t>
        <w:br/>
        <w:t>Programming involves tasks such as analysis, generating algorithms, profiling algorithms' accuracy and resource consumption, and the implementation of algorithms (usually in a particular programming language, commonly referred to as coding).</w:t>
        <w:br/>
        <w:t xml:space="preserve"> Debugging is a very important task in the software development process since having defects in a program can have significant consequences for its users.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