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 1801, the Jacquard loom could produce entirely different weaves by changing the "program" – a series of pasteboard cards with holes punched in them.</w:t>
        <w:br/>
        <w:t>Provided the functions in a library follow the appropriate run-time conventions (e.g., method of passing arguments), then these functions may be written in any other language.</w:t>
        <w:br/>
        <w:t>Compilers harnessed the power of computers to make programming easier by allowing programmers to specify calculations by entering a formula using infix notation.</w:t>
        <w:br/>
        <w:t>There are many approaches to the Software development process.</w:t>
        <w:br/>
        <w:t>Many factors, having little or nothing to do with the ability of the computer to efficiently compile and execute the code, contribute to readability.</w:t>
        <w:br/>
        <w:t>For example, when a bug in a compiler can make it crash when parsing some large source file, a simplification of the test case that results in only few lines from the original source file can be sufficient to reproduce the same crash.</w:t>
        <w:br/>
        <w:t>For example, when a bug in a compiler can make it crash when parsing some large source file, a simplification of the test case that results in only few lines from the original source file can be sufficient to reproduce the same crash.</w:t>
        <w:br/>
        <w:t>However, Charles Babbage had already written his first program for the Analytical Engine in 1837.</w:t>
        <w:br/>
        <w:t>Unreadable code often leads to bugs, inefficiencies, and duplicated code.</w:t>
        <w:br/>
        <w:t xml:space="preserve"> Following a consistent programming style often helps readability.</w:t>
        <w:br/>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