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Ideally, the programming language best suited for the task at hand will be selected.</w:t>
        <w:br/>
        <w:t>Some text editors such as Emacs allow GDB to be invoked through them, to provide a visual environment.</w:t>
        <w:br/>
        <w:t>In 1206, the Arab engineer Al-Jazari invented a programmable drum machine where a musical mechanical automaton could be made to play different rhythms and drum patterns, via pegs and cams.</w:t>
        <w:b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br/>
        <w:t>Languages form an approximate spectrum from "low-level" to "high-level"; "low-level" languages are typically more machine-oriented and faster to execute, whereas "high-level" languages are more abstract and easier to use but execute less quickly.</w:t>
        <w:br/>
        <w:t>Provided the functions in a library follow the appropriate run-time conventions (e.g., method of passing arguments), then these functions may be written in any other language.</w:t>
        <w:br/>
        <w:t>Transpiling on the other hand, takes the source-code from a high-level programming language and converts it into bytecode.</w:t>
        <w:br/>
        <w:t>The choice of language used is subject to many considerations, such as company policy, suitability to task, availability of third-party packages, or individual preference.</w:t>
        <w:br/>
        <w:t>For example, when a bug in a compiler can make it crash when parsing some large source file, a simplification of the test case that results in only few lines from the original source file can be sufficient to reproduce the same crash.</w:t>
        <w:br/>
        <w:t>Trial-and-error/divide-and-conquer is needed: the programmer will try to remove some parts of the original test case and check if the problem still exists.</w:t>
        <w:br/>
        <w:t>Normally the first step in debugging is to attempt to reproduce the problem.</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