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 xml:space="preserve"> Readability is important because programmers spend the majority of their time reading, trying to understand, reusing and modifying existing source code, rather than writing new source code.</w:t>
        <w:br/>
        <w:t xml:space="preserve"> Popular modeling techniques include Object-Oriented Analysis and Design (OOAD) and Model-Driven Architecture (MDA).</w:t>
        <w:br/>
        <w:t>Also, specific user environment and usage history can make it difficult to reproduce the problem.</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