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As early as the 9th century, a programmable music sequencer was invented by the Persian Banu Musa brothers, who described an automated mechanical flute player in the Book of Ingenious Devices.</w:t>
        <w:br/>
        <w:t>Also, specific user environment and usage history can make it difficult to reproduce the problem.</w:t>
        <w:br/>
        <w:t>Transpiling on the other hand, takes the source-code from a high-level programming language and converts it into bytecode.</w:t>
        <w:br/>
        <w:t>To produce machine code, the source code must either be compiled or transpiled.</w:t>
        <w:br/>
        <w:t>Integrated development environments (IDEs) aim to integrate all such help.</w:t>
        <w:br/>
        <w:t>This can be a non-trivial task, for example as with parallel processes or some unusual software bugs.</w:t>
        <w:br/>
        <w:t>Transpiling on the other hand, takes the source-code from a high-level programming language and converts it into bytecode.</w:t>
        <w:br/>
        <w:t>Programming involves tasks such as analysis, generating algorithms, profiling algorithms' accuracy and resource consumption, and the implementation of algorithms (usually in a particular programming language, commonly referred to as coding).</w:t>
        <w:br/>
        <w:t>Scripting and breakpointing is also part of this process.</w:t>
        <w:br/>
        <w:t>Relatedly, software engineering combines engineering techniques and principles with software development.</w:t>
        <w:br/>
        <w:t>Programming languages are essential for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They are the building blocks for all software, from the simplest applications to the most sophisticated ones.</w:t>
        <w:br/>
        <w:t>Trial-and-error/divide-and-conquer is needed: the programmer will try to remove some parts of the original test case and check if the problem still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